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Report outline</w:t>
      </w:r>
    </w:p>
    <w:p>
      <w:pPr>
        <w:pStyle w:val="FirstParagraph"/>
      </w:pPr>
      <w:r>
        <w:rPr>
          <w:i/>
          <w:iCs/>
        </w:rPr>
        <w:t xml:space="preserve">Template. The five headings are the headings of the Wasatch County report attached to Resolution 26-11. The text under each heading summarizes the part of the law that applies. Replace each prompt with your local facts. Replace each part in brackets. Delete this note.</w:t>
      </w:r>
    </w:p>
    <w:bookmarkStart w:id="18" w:name="X816aa98560c91969c87b38ac873ad898f053fa0"/>
    <w:p>
      <w:pPr>
        <w:pStyle w:val="Heading1"/>
      </w:pPr>
      <w:r>
        <w:t xml:space="preserve">[County or City]</w:t>
      </w:r>
      <w:r>
        <w:t xml:space="preserve"> </w:t>
      </w:r>
      <w:r>
        <w:t xml:space="preserve">Report: Problems with the Preliminary Municipality Law</w:t>
      </w:r>
    </w:p>
    <w:bookmarkStart w:id="9" w:name="summary"/>
    <w:p>
      <w:pPr>
        <w:pStyle w:val="Heading2"/>
      </w:pPr>
      <w:r>
        <w:t xml:space="preserve">Summary</w:t>
      </w:r>
    </w:p>
    <w:p>
      <w:pPr>
        <w:pStyle w:val="FirstParagraph"/>
      </w:pPr>
      <w:r>
        <w:t xml:space="preserve">[In two or three sentences, say what the law does, what your county or city saw, and what you ask the Legislature to do.]</w:t>
      </w:r>
    </w:p>
    <w:bookmarkEnd w:id="9"/>
    <w:bookmarkStart w:id="10" w:name="X5c7ed3ffe4387225e90f9a377adb8cd481e8404"/>
    <w:p>
      <w:pPr>
        <w:pStyle w:val="Heading2"/>
      </w:pPr>
      <w:r>
        <w:t xml:space="preserve">1. Regional infrastructure is not a statutory consideration</w:t>
      </w:r>
    </w:p>
    <w:p>
      <w:pPr>
        <w:pStyle w:val="FirstParagraph"/>
      </w:pPr>
      <w:r>
        <w:rPr>
          <w:i/>
          <w:iCs/>
        </w:rPr>
        <w:t xml:space="preserve">Utah Code 10-2a-504(3) and 10-2a-102.</w:t>
      </w:r>
      <w:r>
        <w:t xml:space="preserve"> </w:t>
      </w:r>
      <w:r>
        <w:t xml:space="preserve">The study counts the cost of public services, such as sewer and roads, at the level that the area around the land gets today, and the fiscal impact on other governments. It asks whether there will be enough water, with no standard for enough. It does not require a finding that wastewater can be treated, a traffic study, or an evacuation plan.</w:t>
      </w:r>
    </w:p>
    <w:p>
      <w:pPr>
        <w:pStyle w:val="BodyText"/>
      </w:pPr>
      <w:r>
        <w:t xml:space="preserve">[Describe the zoning of the land today, its water rights, the wastewater plan, the road access, and the wildfire risk.]</w:t>
      </w:r>
    </w:p>
    <w:bookmarkEnd w:id="10"/>
    <w:bookmarkStart w:id="11" w:name="Xcb1c1059bbec2e8c7352a8ea14c02b54e1db420"/>
    <w:p>
      <w:pPr>
        <w:pStyle w:val="Heading2"/>
      </w:pPr>
      <w:r>
        <w:t xml:space="preserve">2. The process can worsen, not improve, affordable housing availability</w:t>
      </w:r>
    </w:p>
    <w:p>
      <w:pPr>
        <w:pStyle w:val="FirstParagraph"/>
      </w:pPr>
      <w:r>
        <w:rPr>
          <w:i/>
          <w:iCs/>
        </w:rPr>
        <w:t xml:space="preserve">Utah Code 10-2a-501(1) and 10-2a-502(2)(e)(iii).</w:t>
      </w:r>
      <w:r>
        <w:t xml:space="preserve"> </w:t>
      </w:r>
      <w:r>
        <w:t xml:space="preserve">The owners must intend that 10% of the housing is affordable. Part 5 does not say when, where, or how, and it has no step that checks that the homes get built.</w:t>
      </w:r>
    </w:p>
    <w:p>
      <w:pPr>
        <w:pStyle w:val="BodyText"/>
      </w:pPr>
      <w:r>
        <w:t xml:space="preserve">[Give the prices in the plan, the jobs that the plan creates, and where those workers would live.]</w:t>
      </w:r>
    </w:p>
    <w:bookmarkEnd w:id="11"/>
    <w:bookmarkStart w:id="12" w:name="Xc9b9d2eb2666978b3b21854c195f196b34028d0"/>
    <w:p>
      <w:pPr>
        <w:pStyle w:val="Heading2"/>
      </w:pPr>
      <w:r>
        <w:t xml:space="preserve">3. Perverse incentives cloud regulatory oversight</w:t>
      </w:r>
    </w:p>
    <w:p>
      <w:pPr>
        <w:pStyle w:val="FirstParagraph"/>
      </w:pPr>
      <w:r>
        <w:rPr>
          <w:i/>
          <w:iCs/>
        </w:rPr>
        <w:t xml:space="preserve">Utah Code 10-2a-507(1)(f), 10-2a-508(1)(b)(i), and 10-2a-509(1), (2), and (7).</w:t>
      </w:r>
      <w:r>
        <w:t xml:space="preserve"> </w:t>
      </w:r>
      <w:r>
        <w:t xml:space="preserve">Until residents elect a mayor and council, the owners name four of the five board members. Before the petition for its first election, the board selects the independent third-party engineer who reviews and approves all building permit applications.</w:t>
      </w:r>
    </w:p>
    <w:p>
      <w:pPr>
        <w:pStyle w:val="BodyText"/>
      </w:pPr>
      <w:r>
        <w:t xml:space="preserve">[Name who reviews engineering, inspections, stormwater, and fire access before the city has voters.]</w:t>
      </w:r>
    </w:p>
    <w:bookmarkEnd w:id="12"/>
    <w:bookmarkStart w:id="13" w:name="X21fad3c9b6a993133cf249f03153e4d4935c0b7"/>
    <w:p>
      <w:pPr>
        <w:pStyle w:val="Heading2"/>
      </w:pPr>
      <w:r>
        <w:t xml:space="preserve">4. The feasibility study cannot test the plan it approves</w:t>
      </w:r>
    </w:p>
    <w:p>
      <w:pPr>
        <w:pStyle w:val="FirstParagraph"/>
      </w:pPr>
      <w:r>
        <w:rPr>
          <w:i/>
          <w:iCs/>
        </w:rPr>
        <w:t xml:space="preserve">Utah Code 10-2a-504(3) and (5).</w:t>
      </w:r>
      <w:r>
        <w:t xml:space="preserve"> </w:t>
      </w:r>
      <w:r>
        <w:t xml:space="preserve">The budget test treats the land as a town of 100 people, with inflation and growth. The study does not ask whether the project can be built as planned. The study approves nothing itself. It decides whether the process can go on.</w:t>
      </w:r>
    </w:p>
    <w:p>
      <w:pPr>
        <w:pStyle w:val="BodyText"/>
      </w:pPr>
      <w:r>
        <w:t xml:space="preserve">[List the assumptions in the study, such as occupancy, private roads, wastewater, and service costs, and compare them with local data.]</w:t>
      </w:r>
    </w:p>
    <w:bookmarkEnd w:id="13"/>
    <w:bookmarkStart w:id="14" w:name="X7a419793449e3523eb2545a786c67ca56350d13"/>
    <w:p>
      <w:pPr>
        <w:pStyle w:val="Heading2"/>
      </w:pPr>
      <w:r>
        <w:t xml:space="preserve">5. The law creates self-entitlement with no enforceable backstop</w:t>
      </w:r>
    </w:p>
    <w:p>
      <w:pPr>
        <w:pStyle w:val="FirstParagraph"/>
      </w:pPr>
      <w:r>
        <w:rPr>
          <w:i/>
          <w:iCs/>
        </w:rPr>
        <w:t xml:space="preserve">Utah Code 10-2a-507(1)(h)(ii), 10-2a-507(2), and 10-2a-507(3).</w:t>
      </w:r>
      <w:r>
        <w:t xml:space="preserve"> </w:t>
      </w:r>
      <w:r>
        <w:t xml:space="preserve">If residents do not elect a mayor and council in time, the roads and infrastructure of the preliminary municipality go to the county. The owners are liable to the county for damages that the dissolution causes. The report says that this backstop is hard to enforce against a limited liability company. The bond is in favor of the preliminary municipality, not the county.</w:t>
      </w:r>
    </w:p>
    <w:p>
      <w:pPr>
        <w:pStyle w:val="BodyText"/>
      </w:pPr>
      <w:r>
        <w:t xml:space="preserve">[Describe what the county would take on if the project stalls, and who owns the land.]</w:t>
      </w:r>
    </w:p>
    <w:bookmarkEnd w:id="14"/>
    <w:bookmarkStart w:id="15" w:name="optional-drafting-errors-in-part-5"/>
    <w:p>
      <w:pPr>
        <w:pStyle w:val="Heading2"/>
      </w:pPr>
      <w:r>
        <w:t xml:space="preserve">Optional: drafting errors in Part 5</w:t>
      </w:r>
    </w:p>
    <w:p>
      <w:pPr>
        <w:pStyle w:val="FirstParagraph"/>
      </w:pPr>
      <w:r>
        <w:t xml:space="preserve">Section 10-2a-507(3) and Section 10-2a-509(3)(a) refer to "Subsection 10-2a-503(5)(e)", which does not exist. The map is in Section 10-2a-502(5)(e). Section 10-2a-509(3)(a) refers to the engineer in "Subsection 10-2a-509(6)", but the engineer is in Subsection (7). Section 10-2a-501(7) refers to Section 20A-1-501, which is an election section.</w:t>
      </w:r>
    </w:p>
    <w:bookmarkEnd w:id="15"/>
    <w:bookmarkStart w:id="16" w:name="recommendation"/>
    <w:p>
      <w:pPr>
        <w:pStyle w:val="Heading2"/>
      </w:pPr>
      <w:r>
        <w:t xml:space="preserve">Recommendation</w:t>
      </w:r>
    </w:p>
    <w:p>
      <w:pPr>
        <w:pStyle w:val="FirstParagraph"/>
      </w:pPr>
      <w:r>
        <w:t xml:space="preserve">[State your request. For example: repeal Utah Code Title 10, Chapter 2a, Part 5, and convene a stakeholder process to design a better framework.]</w:t>
      </w:r>
    </w:p>
    <w:bookmarkEnd w:id="16"/>
    <w:bookmarkStart w:id="17" w:name="sources"/>
    <w:p>
      <w:pPr>
        <w:pStyle w:val="Heading2"/>
      </w:pPr>
      <w:r>
        <w:t xml:space="preserve">Sources</w:t>
      </w:r>
    </w:p>
    <w:p>
      <w:pPr>
        <w:pStyle w:val="FirstParagraph"/>
      </w:pPr>
      <w:r>
        <w:t xml:space="preserve">[List each document with its date and its web address.]</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outline</dc:title>
  <dc:creator/>
  <cp:keywords/>
  <dcterms:created xsi:type="dcterms:W3CDTF">2026-10-26T19:07:43Z</dcterms:created>
  <dcterms:modified xsi:type="dcterms:W3CDTF">2026-10-26T19:07:43Z</dcterms:modified>
</cp:coreProperties>
</file>

<file path=docProps/custom.xml><?xml version="1.0" encoding="utf-8"?>
<Properties xmlns="http://schemas.openxmlformats.org/officeDocument/2006/custom-properties" xmlns:vt="http://schemas.openxmlformats.org/officeDocument/2006/docPropsVTypes"/>
</file>